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7CCD6A54"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w:t>
      </w:r>
      <w:r w:rsidR="006A213B">
        <w:rPr>
          <w:rFonts w:cs="Arial"/>
          <w:bCs/>
          <w:noProof w:val="0"/>
          <w:sz w:val="24"/>
          <w:szCs w:val="24"/>
        </w:rPr>
        <w:t>1</w:t>
      </w:r>
      <w:r w:rsidR="00944B7C">
        <w:rPr>
          <w:rFonts w:cs="Arial"/>
          <w:bCs/>
          <w:noProof w:val="0"/>
          <w:sz w:val="24"/>
          <w:szCs w:val="24"/>
        </w:rPr>
        <w:t>1</w:t>
      </w:r>
      <w:r w:rsidR="00044AC7">
        <w:rPr>
          <w:rFonts w:cs="Arial"/>
          <w:bCs/>
          <w:noProof w:val="0"/>
          <w:sz w:val="24"/>
          <w:szCs w:val="24"/>
        </w:rPr>
        <w:t>-e</w:t>
      </w:r>
      <w:r w:rsidR="002C1220" w:rsidRPr="00484DBF">
        <w:rPr>
          <w:rFonts w:cs="Arial"/>
          <w:bCs/>
          <w:noProof w:val="0"/>
          <w:sz w:val="24"/>
          <w:szCs w:val="24"/>
        </w:rPr>
        <w:tab/>
      </w:r>
      <w:r w:rsidR="002C1220" w:rsidRPr="00F8519C">
        <w:rPr>
          <w:rFonts w:cs="Arial"/>
          <w:bCs/>
          <w:noProof w:val="0"/>
          <w:sz w:val="24"/>
          <w:szCs w:val="24"/>
        </w:rPr>
        <w:t>R3-</w:t>
      </w:r>
      <w:r w:rsidR="00FA4A45">
        <w:rPr>
          <w:rFonts w:cs="Arial"/>
          <w:bCs/>
          <w:noProof w:val="0"/>
          <w:sz w:val="24"/>
          <w:szCs w:val="24"/>
        </w:rPr>
        <w:t>2</w:t>
      </w:r>
      <w:r w:rsidR="00944B7C">
        <w:rPr>
          <w:rFonts w:cs="Arial"/>
          <w:bCs/>
          <w:noProof w:val="0"/>
          <w:sz w:val="24"/>
          <w:szCs w:val="24"/>
        </w:rPr>
        <w:t>1</w:t>
      </w:r>
      <w:r w:rsidR="00790E98">
        <w:rPr>
          <w:rFonts w:cs="Arial"/>
          <w:bCs/>
          <w:noProof w:val="0"/>
          <w:sz w:val="24"/>
          <w:szCs w:val="24"/>
        </w:rPr>
        <w:t>0076</w:t>
      </w:r>
    </w:p>
    <w:bookmarkEnd w:id="0"/>
    <w:p w14:paraId="5669B020" w14:textId="2AE5CC6B" w:rsidR="004C654E" w:rsidRPr="00484DBF" w:rsidRDefault="00044AC7" w:rsidP="004C654E">
      <w:pPr>
        <w:pStyle w:val="Header"/>
        <w:tabs>
          <w:tab w:val="left" w:pos="2410"/>
        </w:tabs>
        <w:rPr>
          <w:rFonts w:eastAsia="MS Mincho" w:cs="Arial"/>
          <w:sz w:val="24"/>
          <w:szCs w:val="24"/>
          <w:lang w:val="en-US"/>
        </w:rPr>
      </w:pPr>
      <w:r>
        <w:rPr>
          <w:rFonts w:eastAsia="MS Mincho" w:cs="Arial"/>
          <w:sz w:val="24"/>
          <w:szCs w:val="24"/>
          <w:lang w:val="en-US"/>
        </w:rPr>
        <w:t>E-meeting</w:t>
      </w:r>
      <w:r w:rsidR="00FC5FE8">
        <w:rPr>
          <w:rFonts w:eastAsia="MS Mincho" w:cs="Arial"/>
          <w:sz w:val="24"/>
          <w:szCs w:val="24"/>
          <w:lang w:val="en-US"/>
        </w:rPr>
        <w:t xml:space="preserve">, </w:t>
      </w:r>
      <w:r w:rsidR="006A213B">
        <w:rPr>
          <w:rFonts w:eastAsia="MS Mincho" w:cs="Arial"/>
          <w:sz w:val="24"/>
          <w:szCs w:val="24"/>
          <w:lang w:val="en-US"/>
        </w:rPr>
        <w:t>2</w:t>
      </w:r>
      <w:r w:rsidR="00944B7C">
        <w:rPr>
          <w:rFonts w:eastAsia="MS Mincho" w:cs="Arial"/>
          <w:sz w:val="24"/>
          <w:szCs w:val="24"/>
          <w:lang w:val="en-US"/>
        </w:rPr>
        <w:t>5.01</w:t>
      </w:r>
      <w:r w:rsidR="00FA4A45">
        <w:rPr>
          <w:rFonts w:eastAsia="MS Mincho" w:cs="Arial"/>
          <w:sz w:val="24"/>
          <w:szCs w:val="24"/>
          <w:lang w:val="en-US"/>
        </w:rPr>
        <w:t>-</w:t>
      </w:r>
      <w:r w:rsidR="00944B7C">
        <w:rPr>
          <w:rFonts w:eastAsia="MS Mincho" w:cs="Arial"/>
          <w:sz w:val="24"/>
          <w:szCs w:val="24"/>
          <w:lang w:val="en-US"/>
        </w:rPr>
        <w:t>05.02.</w:t>
      </w:r>
      <w:r w:rsidR="005F10C3">
        <w:rPr>
          <w:rFonts w:eastAsia="MS Mincho" w:cs="Arial"/>
          <w:sz w:val="24"/>
          <w:szCs w:val="24"/>
          <w:lang w:val="en-US"/>
        </w:rPr>
        <w:t>20</w:t>
      </w:r>
      <w:r w:rsidR="00FA4A45">
        <w:rPr>
          <w:rFonts w:eastAsia="MS Mincho" w:cs="Arial"/>
          <w:sz w:val="24"/>
          <w:szCs w:val="24"/>
          <w:lang w:val="en-US"/>
        </w:rPr>
        <w:t>2</w:t>
      </w:r>
      <w:r w:rsidR="00944B7C">
        <w:rPr>
          <w:rFonts w:eastAsia="MS Mincho" w:cs="Arial"/>
          <w:sz w:val="24"/>
          <w:szCs w:val="24"/>
          <w:lang w:val="en-US"/>
        </w:rPr>
        <w:t>1</w:t>
      </w:r>
    </w:p>
    <w:p w14:paraId="2F96B0BD" w14:textId="77777777" w:rsidR="002F2360" w:rsidRPr="00813CDA" w:rsidRDefault="002F2360" w:rsidP="002F2360">
      <w:pPr>
        <w:pStyle w:val="Header"/>
        <w:tabs>
          <w:tab w:val="left" w:pos="2410"/>
        </w:tabs>
        <w:rPr>
          <w:bCs/>
          <w:noProof w:val="0"/>
          <w:sz w:val="24"/>
          <w:lang w:val="en-US"/>
        </w:rPr>
      </w:pPr>
    </w:p>
    <w:p w14:paraId="430718D4" w14:textId="33D42008"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B574CB" w:rsidRPr="00B574CB">
        <w:rPr>
          <w:rFonts w:cs="Arial"/>
          <w:b/>
          <w:bCs/>
          <w:sz w:val="24"/>
        </w:rPr>
        <w:t>10.2.1.</w:t>
      </w:r>
      <w:r w:rsidR="00B574CB">
        <w:rPr>
          <w:rFonts w:cs="Arial"/>
          <w:b/>
          <w:bCs/>
          <w:sz w:val="24"/>
        </w:rPr>
        <w:t>6</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02E63EA6"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bookmarkStart w:id="1" w:name="_GoBack"/>
      <w:r w:rsidR="00F87668">
        <w:rPr>
          <w:rFonts w:ascii="Arial" w:hAnsi="Arial" w:cs="Arial"/>
          <w:b/>
          <w:bCs/>
          <w:sz w:val="24"/>
        </w:rPr>
        <w:t>Definitions for MRO scenarios for SN change failure</w:t>
      </w:r>
      <w:bookmarkEnd w:id="1"/>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69FFB98" w14:textId="510C8AEE" w:rsidR="00E2768D" w:rsidRPr="00E2768D" w:rsidRDefault="00F87668" w:rsidP="00944B7C">
      <w:bookmarkStart w:id="2" w:name="_Toc474247438"/>
      <w:r>
        <w:rPr>
          <w:lang w:val="en-US"/>
        </w:rPr>
        <w:t>At RAN3 #1</w:t>
      </w:r>
      <w:r w:rsidR="00944B7C">
        <w:rPr>
          <w:lang w:val="en-US"/>
        </w:rPr>
        <w:t>1</w:t>
      </w:r>
      <w:r>
        <w:rPr>
          <w:lang w:val="en-US"/>
        </w:rPr>
        <w:t xml:space="preserve">09, </w:t>
      </w:r>
      <w:r w:rsidR="00944B7C">
        <w:rPr>
          <w:lang w:val="en-US"/>
        </w:rPr>
        <w:t xml:space="preserve">it has been agreed that the definitions for MRO issues related to the SCG mobility shall address any </w:t>
      </w:r>
      <w:proofErr w:type="spellStart"/>
      <w:r w:rsidR="00944B7C">
        <w:rPr>
          <w:lang w:val="en-US"/>
        </w:rPr>
        <w:t>PSCell</w:t>
      </w:r>
      <w:proofErr w:type="spellEnd"/>
      <w:r w:rsidR="00944B7C">
        <w:rPr>
          <w:lang w:val="en-US"/>
        </w:rPr>
        <w:t xml:space="preserve"> changes. This means, the definitions from the </w:t>
      </w:r>
      <w:r w:rsidR="00944B7C" w:rsidRPr="00E2768D">
        <w:t>TR</w:t>
      </w:r>
      <w:r w:rsidR="00944B7C">
        <w:t> </w:t>
      </w:r>
      <w:r w:rsidR="00944B7C" w:rsidRPr="00E2768D">
        <w:t xml:space="preserve">37.816 </w:t>
      </w:r>
      <w:r w:rsidR="00944B7C">
        <w:rPr>
          <w:lang w:val="en-US"/>
        </w:rPr>
        <w:t xml:space="preserve">must be amended. </w:t>
      </w:r>
    </w:p>
    <w:p w14:paraId="16DC9916" w14:textId="08AC5EA9" w:rsidR="00E2768D" w:rsidRDefault="00E2768D" w:rsidP="008572DC">
      <w:pPr>
        <w:rPr>
          <w:lang w:val="en-US"/>
        </w:rPr>
      </w:pPr>
      <w:r>
        <w:rPr>
          <w:lang w:val="en-US"/>
        </w:rPr>
        <w:t>In this paper, we propose how the definitions could be reformulated so, that the spirit of the SI is maintained.</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2"/>
    <w:p w14:paraId="0D63C18A" w14:textId="25F379C4" w:rsidR="001577BF" w:rsidRDefault="00127B69" w:rsidP="00AA4AF2">
      <w:pPr>
        <w:rPr>
          <w:lang w:val="en-US"/>
        </w:rPr>
      </w:pPr>
      <w:r>
        <w:rPr>
          <w:lang w:val="en-US"/>
        </w:rPr>
        <w:t>The definitions in the TR 37.816 are as follows:</w:t>
      </w:r>
    </w:p>
    <w:p w14:paraId="1622584A" w14:textId="5C97CE45" w:rsidR="00B05EB9" w:rsidRDefault="00B05EB9" w:rsidP="00B05EB9">
      <w:pPr>
        <w:pStyle w:val="ListParagraph"/>
        <w:numPr>
          <w:ilvl w:val="0"/>
          <w:numId w:val="39"/>
        </w:numPr>
      </w:pPr>
      <w:r>
        <w:t>Too late SN change triggering: an SCG failure occurs after the UE has stayed for a long period of time in the cell of the SN; the MN makes decisions for UE, making UE to establish the radio link connection in a different SN.</w:t>
      </w:r>
    </w:p>
    <w:p w14:paraId="3EA1BEFD" w14:textId="6066B163" w:rsidR="00B05EB9" w:rsidRDefault="00B05EB9" w:rsidP="00B05EB9">
      <w:pPr>
        <w:pStyle w:val="ListParagraph"/>
        <w:numPr>
          <w:ilvl w:val="0"/>
          <w:numId w:val="39"/>
        </w:numPr>
      </w:pPr>
      <w:r>
        <w:t>Too early SN change triggering: an SCG failure occurs shortly after a successful SN change from a source SN to a target SN or a SN change failure occurs during the SN change procedure; the MN makes decisions for UE, making UE to re-establish the radio link connection in the source SN.</w:t>
      </w:r>
    </w:p>
    <w:p w14:paraId="08931AF0" w14:textId="3BE9F2B6" w:rsidR="00127B69" w:rsidRPr="00127B69" w:rsidRDefault="00B05EB9" w:rsidP="00B05EB9">
      <w:pPr>
        <w:pStyle w:val="ListParagraph"/>
        <w:numPr>
          <w:ilvl w:val="0"/>
          <w:numId w:val="39"/>
        </w:numPr>
        <w:rPr>
          <w:lang w:val="en-GB"/>
        </w:rPr>
      </w:pPr>
      <w:r>
        <w:t>Triggering SN change to wrong SN: an SCG failure occurs shortly after a successful SN change from a source SN to a target SN or a SN change failure occurs during the SN change procedure; the MN makes decisions for UE, making UE to establish the radio link connection in a SN other than the source SN or target SN.</w:t>
      </w:r>
    </w:p>
    <w:p w14:paraId="73735863" w14:textId="22D5D5D9" w:rsidR="00127B69" w:rsidRDefault="00B05EB9" w:rsidP="00AA4AF2">
      <w:proofErr w:type="gramStart"/>
      <w:r>
        <w:t>All of</w:t>
      </w:r>
      <w:proofErr w:type="gramEnd"/>
      <w:r>
        <w:t xml:space="preserve"> the above events are based on the assumption that the MN decides to continue DC operation and that it analyses the SCG failure report. This may not always be the case – the SCG report may be forwarded to the last serving SN (or the SN which initiated the last SN Change, if the MN supports MRO for SN changes). </w:t>
      </w:r>
      <w:r w:rsidR="00C81A07">
        <w:t xml:space="preserve">Also, the SN where the problem started (in case of SN-initiated SN change) does not necessarily know if the MN re-established DC for the UE – the only information it receives are the measurements the UE recorded prior to the SCG failure. </w:t>
      </w:r>
    </w:p>
    <w:p w14:paraId="0079A3A7" w14:textId="7E1CA539" w:rsidR="00C81A07" w:rsidRPr="00B4621E" w:rsidRDefault="00C81A07" w:rsidP="00AA4AF2">
      <w:pPr>
        <w:rPr>
          <w:b/>
          <w:bCs/>
        </w:rPr>
      </w:pPr>
      <w:r w:rsidRPr="00B4621E">
        <w:rPr>
          <w:b/>
          <w:bCs/>
        </w:rPr>
        <w:t>Observation 1: In case of a failure of an SN-initiated SN change, the SN that triggered the change does not know if the MN triggered any post-failure action or not – hence it can’t surely identify the event, if MN’s action is one of the conditions.</w:t>
      </w:r>
    </w:p>
    <w:p w14:paraId="2BFB879A" w14:textId="4D2C81F7" w:rsidR="00C81A07" w:rsidRPr="00B4621E" w:rsidRDefault="00C81A07" w:rsidP="00AA4AF2">
      <w:pPr>
        <w:rPr>
          <w:b/>
          <w:bCs/>
        </w:rPr>
      </w:pPr>
      <w:r w:rsidRPr="00B4621E">
        <w:rPr>
          <w:b/>
          <w:bCs/>
        </w:rPr>
        <w:t>Proposal 1: Instead of the MN action, the measurement results from the SCG failure report shall be used to identify MRO events in case of a failed SN change.</w:t>
      </w:r>
    </w:p>
    <w:p w14:paraId="7AA0E72D" w14:textId="7AA0A0FC" w:rsidR="00B4621E" w:rsidRDefault="00CB48A7" w:rsidP="00AA4AF2">
      <w:r>
        <w:t xml:space="preserve">Taking the </w:t>
      </w:r>
      <w:r w:rsidR="00944B7C">
        <w:t xml:space="preserve">agreement of RAN3 #110 and the </w:t>
      </w:r>
      <w:r>
        <w:t>above into account, we propose to modify the definitions as follows:</w:t>
      </w:r>
    </w:p>
    <w:p w14:paraId="1CC5D9F1" w14:textId="183108D0" w:rsidR="00CB48A7" w:rsidRDefault="00CB48A7" w:rsidP="00FD44A2">
      <w:pPr>
        <w:pStyle w:val="ListParagraph"/>
        <w:numPr>
          <w:ilvl w:val="0"/>
          <w:numId w:val="40"/>
        </w:numPr>
      </w:pPr>
      <w:r>
        <w:t xml:space="preserve">Too late SN change triggering: an SCG failure occurs after the UE has stayed for a long period of time in a </w:t>
      </w:r>
      <w:proofErr w:type="spellStart"/>
      <w:r>
        <w:t>PSCell</w:t>
      </w:r>
      <w:proofErr w:type="spellEnd"/>
      <w:r>
        <w:t xml:space="preserve"> of the SN; the measurements reported in the SCG failure report from the UE indicate another </w:t>
      </w:r>
      <w:proofErr w:type="spellStart"/>
      <w:r>
        <w:t>PSCell</w:t>
      </w:r>
      <w:proofErr w:type="spellEnd"/>
      <w:r>
        <w:t xml:space="preserve"> in the same or a different SN</w:t>
      </w:r>
      <w:r w:rsidR="00FD44A2" w:rsidRPr="00FD44A2">
        <w:t xml:space="preserve"> </w:t>
      </w:r>
      <w:r w:rsidR="00FD44A2">
        <w:t>as the best candidate for SCG connection</w:t>
      </w:r>
      <w:r>
        <w:t>.</w:t>
      </w:r>
    </w:p>
    <w:p w14:paraId="381CEADD" w14:textId="03E893B0" w:rsidR="00FD44A2" w:rsidRDefault="00CB48A7" w:rsidP="00FD44A2">
      <w:pPr>
        <w:pStyle w:val="ListParagraph"/>
        <w:numPr>
          <w:ilvl w:val="0"/>
          <w:numId w:val="40"/>
        </w:numPr>
      </w:pPr>
      <w:r>
        <w:t xml:space="preserve">Too early SN change triggering: an SCG failure occurs shortly after a successful </w:t>
      </w:r>
      <w:proofErr w:type="spellStart"/>
      <w:r w:rsidR="00FD44A2">
        <w:t>PSCell</w:t>
      </w:r>
      <w:proofErr w:type="spellEnd"/>
      <w:r>
        <w:t xml:space="preserve"> change or a</w:t>
      </w:r>
      <w:r w:rsidR="00FD44A2">
        <w:t>n</w:t>
      </w:r>
      <w:r>
        <w:t xml:space="preserve"> S</w:t>
      </w:r>
      <w:r w:rsidR="00FD44A2">
        <w:t>CG</w:t>
      </w:r>
      <w:r>
        <w:t xml:space="preserve"> failure occurs during the </w:t>
      </w:r>
      <w:proofErr w:type="spellStart"/>
      <w:r w:rsidR="00FD44A2">
        <w:t>PSCell</w:t>
      </w:r>
      <w:proofErr w:type="spellEnd"/>
      <w:r>
        <w:t xml:space="preserve"> change procedure</w:t>
      </w:r>
      <w:r w:rsidR="00FD44A2">
        <w:t xml:space="preserve"> (intra-SN or inter-SN)</w:t>
      </w:r>
      <w:r>
        <w:t xml:space="preserve">; </w:t>
      </w:r>
      <w:r w:rsidR="00FD44A2">
        <w:t xml:space="preserve">the measurements reported in the SCG failure report from the UE indicate the same </w:t>
      </w:r>
      <w:proofErr w:type="spellStart"/>
      <w:r w:rsidR="00FD44A2">
        <w:t>PSCell</w:t>
      </w:r>
      <w:proofErr w:type="spellEnd"/>
      <w:r w:rsidR="00FD44A2">
        <w:t xml:space="preserve"> that the UE used prior to the failure</w:t>
      </w:r>
      <w:r w:rsidR="00FD44A2" w:rsidRPr="00FD44A2">
        <w:t xml:space="preserve"> </w:t>
      </w:r>
      <w:r w:rsidR="00FD44A2">
        <w:t>as the best candidate for SCG connection.</w:t>
      </w:r>
    </w:p>
    <w:p w14:paraId="40BC5CA2" w14:textId="746B4FED" w:rsidR="00FD44A2" w:rsidRDefault="00CB48A7" w:rsidP="00FD44A2">
      <w:pPr>
        <w:pStyle w:val="ListParagraph"/>
        <w:numPr>
          <w:ilvl w:val="0"/>
          <w:numId w:val="40"/>
        </w:numPr>
      </w:pPr>
      <w:r>
        <w:t xml:space="preserve">Triggering SN change to wrong SN: an SCG failure occurs shortly after a successful </w:t>
      </w:r>
      <w:proofErr w:type="spellStart"/>
      <w:r w:rsidR="00FD44A2">
        <w:t>PSCell</w:t>
      </w:r>
      <w:proofErr w:type="spellEnd"/>
      <w:r w:rsidR="00FD44A2">
        <w:t xml:space="preserve"> change or an SCG failure occurs during the </w:t>
      </w:r>
      <w:proofErr w:type="spellStart"/>
      <w:r w:rsidR="00FD44A2">
        <w:t>PSCell</w:t>
      </w:r>
      <w:proofErr w:type="spellEnd"/>
      <w:r w:rsidR="00FD44A2">
        <w:t xml:space="preserve"> change procedure (intra-SN or inter-SN)</w:t>
      </w:r>
      <w:r>
        <w:t xml:space="preserve">; </w:t>
      </w:r>
      <w:r w:rsidR="00FD44A2">
        <w:t xml:space="preserve">the measurements reported in the </w:t>
      </w:r>
      <w:r w:rsidR="00FD44A2">
        <w:lastRenderedPageBreak/>
        <w:t xml:space="preserve">SCG failure report from the UE indicate a </w:t>
      </w:r>
      <w:proofErr w:type="spellStart"/>
      <w:r w:rsidR="00FD44A2">
        <w:t>PSCell</w:t>
      </w:r>
      <w:proofErr w:type="spellEnd"/>
      <w:r w:rsidR="00FD44A2">
        <w:t xml:space="preserve"> different than the source </w:t>
      </w:r>
      <w:proofErr w:type="spellStart"/>
      <w:r w:rsidR="00FD44A2">
        <w:t>PSCell</w:t>
      </w:r>
      <w:proofErr w:type="spellEnd"/>
      <w:r w:rsidR="00FD44A2">
        <w:t xml:space="preserve"> or the target </w:t>
      </w:r>
      <w:proofErr w:type="spellStart"/>
      <w:r w:rsidR="00FD44A2">
        <w:t>PSCell</w:t>
      </w:r>
      <w:proofErr w:type="spellEnd"/>
      <w:r w:rsidR="00FD44A2">
        <w:t>, in the same or a different SN,</w:t>
      </w:r>
      <w:r w:rsidR="00FD44A2" w:rsidRPr="00FD44A2">
        <w:t xml:space="preserve"> </w:t>
      </w:r>
      <w:r w:rsidR="00FD44A2">
        <w:t>as the best candidate for SCG connection.</w:t>
      </w:r>
    </w:p>
    <w:p w14:paraId="1A85D52B" w14:textId="08D7177C" w:rsidR="00CB48A7" w:rsidRPr="00FD44A2" w:rsidRDefault="00FD44A2" w:rsidP="00CB48A7">
      <w:pPr>
        <w:rPr>
          <w:b/>
          <w:bCs/>
        </w:rPr>
      </w:pPr>
      <w:r w:rsidRPr="00FD44A2">
        <w:rPr>
          <w:b/>
          <w:bCs/>
        </w:rPr>
        <w:t xml:space="preserve">Proposal </w:t>
      </w:r>
      <w:r w:rsidR="00944B7C">
        <w:rPr>
          <w:b/>
          <w:bCs/>
        </w:rPr>
        <w:t>2</w:t>
      </w:r>
      <w:r w:rsidRPr="00FD44A2">
        <w:rPr>
          <w:b/>
          <w:bCs/>
        </w:rPr>
        <w:t>: RAN3 endorses the above definitions.</w:t>
      </w:r>
    </w:p>
    <w:p w14:paraId="28E42E52" w14:textId="77777777" w:rsidR="000F16C4" w:rsidRPr="005F10C3" w:rsidRDefault="00CD2620" w:rsidP="00E00CEF">
      <w:pPr>
        <w:pStyle w:val="Heading1"/>
      </w:pPr>
      <w:r w:rsidRPr="005F10C3">
        <w:t>3</w:t>
      </w:r>
      <w:r w:rsidR="000F16C4" w:rsidRPr="005F10C3">
        <w:tab/>
      </w:r>
      <w:r w:rsidRPr="005F10C3">
        <w:t>Conclusions</w:t>
      </w:r>
    </w:p>
    <w:p w14:paraId="2C10ADBC" w14:textId="38126060" w:rsidR="00A15228" w:rsidRDefault="006C5F25" w:rsidP="006A43F7">
      <w:pPr>
        <w:jc w:val="both"/>
        <w:rPr>
          <w:bCs/>
          <w:lang w:val="en-US"/>
        </w:rPr>
      </w:pPr>
      <w:r>
        <w:rPr>
          <w:bCs/>
          <w:lang w:val="en-US"/>
        </w:rPr>
        <w:t>In this paper, we propose to amend the MRO definitions for SCG failures. The discussion may be summarized as follows:</w:t>
      </w:r>
    </w:p>
    <w:p w14:paraId="22641A9D" w14:textId="77777777" w:rsidR="006C5F25" w:rsidRPr="006C5F25" w:rsidRDefault="006C5F25" w:rsidP="006C5F25">
      <w:pPr>
        <w:ind w:left="284"/>
        <w:jc w:val="both"/>
        <w:rPr>
          <w:bCs/>
          <w:lang w:val="en-US"/>
        </w:rPr>
      </w:pPr>
      <w:r w:rsidRPr="006C5F25">
        <w:rPr>
          <w:bCs/>
          <w:lang w:val="en-US"/>
        </w:rPr>
        <w:t>Observation 1: In case of a failure of an SN-initiated SN change, the SN that triggered the change does not know if the MN triggered any post-failure action or not – hence it can’t surely identify the event, if MN’s action is one of the conditions.</w:t>
      </w:r>
    </w:p>
    <w:p w14:paraId="755DB0DB" w14:textId="77777777" w:rsidR="006C5F25" w:rsidRPr="006C5F25" w:rsidRDefault="006C5F25" w:rsidP="006C5F25">
      <w:pPr>
        <w:ind w:left="284"/>
        <w:jc w:val="both"/>
        <w:rPr>
          <w:bCs/>
          <w:lang w:val="en-US"/>
        </w:rPr>
      </w:pPr>
      <w:r w:rsidRPr="006C5F25">
        <w:rPr>
          <w:bCs/>
          <w:lang w:val="en-US"/>
        </w:rPr>
        <w:t>Proposal 1: Instead of the MN action, the measurement results from the SCG failure report shall be used to identify MRO events in case of a failed SN change.</w:t>
      </w:r>
    </w:p>
    <w:p w14:paraId="7759638C" w14:textId="4120CD39" w:rsidR="006C5F25" w:rsidRDefault="006C5F25" w:rsidP="006C5F25">
      <w:pPr>
        <w:ind w:left="284"/>
        <w:jc w:val="both"/>
        <w:rPr>
          <w:bCs/>
          <w:lang w:val="en-US"/>
        </w:rPr>
      </w:pPr>
      <w:r w:rsidRPr="006C5F25">
        <w:rPr>
          <w:bCs/>
          <w:lang w:val="en-US"/>
        </w:rPr>
        <w:t xml:space="preserve">Proposal </w:t>
      </w:r>
      <w:r w:rsidR="00944B7C">
        <w:rPr>
          <w:bCs/>
          <w:lang w:val="en-US"/>
        </w:rPr>
        <w:t>2</w:t>
      </w:r>
      <w:r w:rsidRPr="006C5F25">
        <w:rPr>
          <w:bCs/>
          <w:lang w:val="en-US"/>
        </w:rPr>
        <w:t>: RAN3 endorses the definitions</w:t>
      </w:r>
      <w:r>
        <w:rPr>
          <w:bCs/>
          <w:lang w:val="en-US"/>
        </w:rPr>
        <w:t xml:space="preserve"> proposed in the chapter 2</w:t>
      </w:r>
      <w:r w:rsidRPr="006C5F25">
        <w:rPr>
          <w:bCs/>
          <w:lang w:val="en-US"/>
        </w:rPr>
        <w:t>.</w:t>
      </w:r>
    </w:p>
    <w:p w14:paraId="35C6CFB7" w14:textId="3A7647D4" w:rsidR="006C5F25" w:rsidRDefault="006C5F25" w:rsidP="006A43F7">
      <w:pPr>
        <w:jc w:val="both"/>
        <w:rPr>
          <w:bCs/>
          <w:lang w:val="en-US"/>
        </w:rPr>
      </w:pPr>
      <w:r>
        <w:rPr>
          <w:bCs/>
          <w:lang w:val="en-US"/>
        </w:rPr>
        <w:t>In order to fix the decision, it is proposed to include the definitions in the TS 37.340, as proposed in [1].</w:t>
      </w:r>
    </w:p>
    <w:p w14:paraId="483F8717" w14:textId="77777777" w:rsidR="00403B9B" w:rsidRPr="006E13D1" w:rsidRDefault="00403B9B" w:rsidP="00403B9B">
      <w:pPr>
        <w:pStyle w:val="Heading1"/>
      </w:pPr>
      <w:r w:rsidRPr="006E13D1">
        <w:t>References</w:t>
      </w:r>
    </w:p>
    <w:p w14:paraId="2AF1DCFA" w14:textId="0E016DF0" w:rsidR="006A43F7" w:rsidRPr="00A15228" w:rsidRDefault="006C5F25" w:rsidP="008A3464">
      <w:pPr>
        <w:numPr>
          <w:ilvl w:val="0"/>
          <w:numId w:val="4"/>
        </w:numPr>
        <w:overflowPunct w:val="0"/>
        <w:autoSpaceDE w:val="0"/>
        <w:autoSpaceDN w:val="0"/>
        <w:adjustRightInd w:val="0"/>
        <w:textAlignment w:val="baseline"/>
        <w:rPr>
          <w:lang w:val="fi-FI"/>
        </w:rPr>
      </w:pPr>
      <w:r>
        <w:rPr>
          <w:lang w:val="fi-FI"/>
        </w:rPr>
        <w:t>R3-2</w:t>
      </w:r>
      <w:r w:rsidR="00944B7C">
        <w:rPr>
          <w:lang w:val="fi-FI"/>
        </w:rPr>
        <w:t>1</w:t>
      </w:r>
      <w:r w:rsidR="00790E98">
        <w:rPr>
          <w:lang w:val="fi-FI"/>
        </w:rPr>
        <w:t>0077</w:t>
      </w:r>
      <w:r>
        <w:rPr>
          <w:lang w:val="fi-FI"/>
        </w:rPr>
        <w:t>, RAN3 #11</w:t>
      </w:r>
      <w:r w:rsidR="00944B7C">
        <w:rPr>
          <w:lang w:val="fi-FI"/>
        </w:rPr>
        <w:t>1</w:t>
      </w:r>
      <w:r>
        <w:rPr>
          <w:lang w:val="fi-FI"/>
        </w:rPr>
        <w:t>e</w:t>
      </w:r>
    </w:p>
    <w:p w14:paraId="01293442" w14:textId="77777777" w:rsidR="0022219E" w:rsidRPr="00A15228" w:rsidRDefault="0022219E" w:rsidP="0022219E">
      <w:pPr>
        <w:overflowPunct w:val="0"/>
        <w:autoSpaceDE w:val="0"/>
        <w:autoSpaceDN w:val="0"/>
        <w:adjustRightInd w:val="0"/>
        <w:textAlignment w:val="baseline"/>
        <w:rPr>
          <w:lang w:val="fi-FI"/>
        </w:rPr>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35336" w14:textId="77777777" w:rsidR="00002A39" w:rsidRDefault="00002A39">
      <w:r>
        <w:separator/>
      </w:r>
    </w:p>
  </w:endnote>
  <w:endnote w:type="continuationSeparator" w:id="0">
    <w:p w14:paraId="22D120AA" w14:textId="77777777" w:rsidR="00002A39" w:rsidRDefault="00002A39">
      <w:r>
        <w:continuationSeparator/>
      </w:r>
    </w:p>
  </w:endnote>
  <w:endnote w:type="continuationNotice" w:id="1">
    <w:p w14:paraId="3D91072D" w14:textId="77777777" w:rsidR="00002A39" w:rsidRDefault="00002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C6D6A" w14:textId="77777777" w:rsidR="00002A39" w:rsidRDefault="00002A39">
      <w:r>
        <w:separator/>
      </w:r>
    </w:p>
  </w:footnote>
  <w:footnote w:type="continuationSeparator" w:id="0">
    <w:p w14:paraId="104B4927" w14:textId="77777777" w:rsidR="00002A39" w:rsidRDefault="00002A39">
      <w:r>
        <w:continuationSeparator/>
      </w:r>
    </w:p>
  </w:footnote>
  <w:footnote w:type="continuationNotice" w:id="1">
    <w:p w14:paraId="0A17C983" w14:textId="77777777" w:rsidR="00002A39" w:rsidRDefault="00002A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0167776"/>
    <w:multiLevelType w:val="hybridMultilevel"/>
    <w:tmpl w:val="7DACA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8A3884"/>
    <w:multiLevelType w:val="hybridMultilevel"/>
    <w:tmpl w:val="C1FA1D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BB7651"/>
    <w:multiLevelType w:val="hybridMultilevel"/>
    <w:tmpl w:val="85B856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15"/>
  </w:num>
  <w:num w:numId="4">
    <w:abstractNumId w:val="10"/>
  </w:num>
  <w:num w:numId="5">
    <w:abstractNumId w:val="11"/>
  </w:num>
  <w:num w:numId="6">
    <w:abstractNumId w:val="39"/>
  </w:num>
  <w:num w:numId="7">
    <w:abstractNumId w:val="25"/>
  </w:num>
  <w:num w:numId="8">
    <w:abstractNumId w:val="16"/>
  </w:num>
  <w:num w:numId="9">
    <w:abstractNumId w:val="37"/>
  </w:num>
  <w:num w:numId="10">
    <w:abstractNumId w:val="24"/>
  </w:num>
  <w:num w:numId="11">
    <w:abstractNumId w:val="14"/>
  </w:num>
  <w:num w:numId="12">
    <w:abstractNumId w:val="31"/>
  </w:num>
  <w:num w:numId="13">
    <w:abstractNumId w:val="32"/>
  </w:num>
  <w:num w:numId="14">
    <w:abstractNumId w:val="30"/>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7"/>
  </w:num>
  <w:num w:numId="26">
    <w:abstractNumId w:val="17"/>
  </w:num>
  <w:num w:numId="27">
    <w:abstractNumId w:val="21"/>
  </w:num>
  <w:num w:numId="28">
    <w:abstractNumId w:val="35"/>
  </w:num>
  <w:num w:numId="29">
    <w:abstractNumId w:val="36"/>
  </w:num>
  <w:num w:numId="30">
    <w:abstractNumId w:val="26"/>
  </w:num>
  <w:num w:numId="31">
    <w:abstractNumId w:val="23"/>
  </w:num>
  <w:num w:numId="32">
    <w:abstractNumId w:val="18"/>
  </w:num>
  <w:num w:numId="33">
    <w:abstractNumId w:val="28"/>
  </w:num>
  <w:num w:numId="34">
    <w:abstractNumId w:val="13"/>
  </w:num>
  <w:num w:numId="35">
    <w:abstractNumId w:val="12"/>
  </w:num>
  <w:num w:numId="36">
    <w:abstractNumId w:val="34"/>
  </w:num>
  <w:num w:numId="37">
    <w:abstractNumId w:val="22"/>
  </w:num>
  <w:num w:numId="38">
    <w:abstractNumId w:val="38"/>
  </w:num>
  <w:num w:numId="39">
    <w:abstractNumId w:val="33"/>
  </w:num>
  <w:num w:numId="4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A3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27B69"/>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DAC"/>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0011"/>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5F2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67E4"/>
    <w:rsid w:val="00787213"/>
    <w:rsid w:val="0078727C"/>
    <w:rsid w:val="007877A5"/>
    <w:rsid w:val="007905DB"/>
    <w:rsid w:val="00790C87"/>
    <w:rsid w:val="00790E98"/>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4B7C"/>
    <w:rsid w:val="009458C7"/>
    <w:rsid w:val="00945F40"/>
    <w:rsid w:val="009461CA"/>
    <w:rsid w:val="009471FD"/>
    <w:rsid w:val="00947224"/>
    <w:rsid w:val="0095007B"/>
    <w:rsid w:val="0095208E"/>
    <w:rsid w:val="00952B52"/>
    <w:rsid w:val="00953F9F"/>
    <w:rsid w:val="00954F6C"/>
    <w:rsid w:val="009559A3"/>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5EB9"/>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21E"/>
    <w:rsid w:val="00B46DFA"/>
    <w:rsid w:val="00B472AE"/>
    <w:rsid w:val="00B47B4C"/>
    <w:rsid w:val="00B53026"/>
    <w:rsid w:val="00B573A0"/>
    <w:rsid w:val="00B574CB"/>
    <w:rsid w:val="00B575B7"/>
    <w:rsid w:val="00B620C6"/>
    <w:rsid w:val="00B62656"/>
    <w:rsid w:val="00B6400F"/>
    <w:rsid w:val="00B64F6E"/>
    <w:rsid w:val="00B66773"/>
    <w:rsid w:val="00B67516"/>
    <w:rsid w:val="00B675E5"/>
    <w:rsid w:val="00B67FC5"/>
    <w:rsid w:val="00B704B9"/>
    <w:rsid w:val="00B71C9C"/>
    <w:rsid w:val="00B73D87"/>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0DD8"/>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0374"/>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A07"/>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48A7"/>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2768D"/>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87668"/>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4A2"/>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9865DFDF-D42F-4686-916C-D33309665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116</TotalTime>
  <Pages>1</Pages>
  <Words>618</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Definitions for MRO scenarios for SN change failure</vt:lpstr>
    </vt:vector>
  </TitlesOfParts>
  <Company>Nokia, Nokia Shanghai Bell</Company>
  <LinksUpToDate>false</LinksUpToDate>
  <CharactersWithSpaces>4318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Definitions for MRO scenarios for SN change failure</dc:title>
  <dc:subject>3GPP RAN3 #111-e</dc:subject>
  <dc:creator>Benoist Sébire</dc:creator>
  <cp:keywords>&lt;keyword[, keyword, ]&gt;</cp:keywords>
  <dc:description/>
  <cp:lastModifiedBy>Nokia</cp:lastModifiedBy>
  <cp:revision>32</cp:revision>
  <cp:lastPrinted>2019-03-27T07:16:00Z</cp:lastPrinted>
  <dcterms:created xsi:type="dcterms:W3CDTF">2019-10-03T12:07:00Z</dcterms:created>
  <dcterms:modified xsi:type="dcterms:W3CDTF">2021-01-14T10:03:00Z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